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keepNext/>
        <w:spacing w:before="1200" w:after="160" w:line="269" w:lineRule="auto"/>
      </w:pPr>
      <w:r>
        <w:rPr>
          <w:rFonts w:ascii="Arial" w:hAnsi="Arial"/>
          <w:b/>
          <w:color w:val="9B792B"/>
          <w:sz w:val="18"/>
        </w:rPr>
        <w:t>SERVICE SPECIFICATION / PHYSICAL INFRASTRUCTURE</w:t>
      </w:r>
    </w:p>
    <w:p>
      <w:pPr>
        <w:keepNext/>
        <w:spacing w:before="0" w:after="180" w:line="269" w:lineRule="auto"/>
      </w:pPr>
      <w:r>
        <w:rPr>
          <w:rFonts w:ascii="Arial" w:hAnsi="Arial"/>
          <w:b/>
          <w:color w:val="181818"/>
          <w:sz w:val="48"/>
        </w:rPr>
        <w:t>Structured cabling</w:t>
      </w:r>
    </w:p>
    <w:p>
      <w:pPr>
        <w:keepNext w:val="0"/>
        <w:spacing w:before="0" w:after="240" w:line="269" w:lineRule="auto"/>
      </w:pPr>
      <w:r>
        <w:rPr>
          <w:rFonts w:ascii="Arial" w:hAnsi="Arial"/>
          <w:b w:val="0"/>
          <w:color w:val="646464"/>
          <w:sz w:val="17"/>
        </w:rPr>
        <w:t>GHT-SVC-001   •   Revision 1.0   •   06 September 2026   •   1 / 3</w:t>
      </w:r>
    </w:p>
    <w:p>
      <w:pPr>
        <w:keepNext w:val="0"/>
        <w:spacing w:before="0" w:after="180" w:line="269" w:lineRule="auto"/>
      </w:pPr>
      <w:r>
        <w:rPr>
          <w:rFonts w:ascii="Arial" w:hAnsi="Arial"/>
          <w:b w:val="0"/>
          <w:color w:val="181818"/>
          <w:sz w:val="22"/>
        </w:rPr>
        <w:t>Copper or fiber links, outlets, patch panels, pathways, and labels for computers, Wi-Fi, cameras, phones, and building systems.</w:t>
      </w:r>
    </w:p>
    <w:p>
      <w:pPr>
        <w:keepNext/>
        <w:spacing w:before="200" w:after="120" w:line="269" w:lineRule="auto"/>
      </w:pPr>
      <w:r>
        <w:rPr>
          <w:rFonts w:ascii="Arial" w:hAnsi="Arial"/>
          <w:b/>
          <w:color w:val="9B792B"/>
          <w:sz w:val="24"/>
        </w:rPr>
        <w:t>Intended outcome</w:t>
      </w:r>
    </w:p>
    <w:p>
      <w:pPr>
        <w:keepNext w:val="0"/>
        <w:spacing w:before="0" w:after="140" w:line="269" w:lineRule="auto"/>
      </w:pPr>
      <w:r>
        <w:rPr>
          <w:rFonts w:ascii="Arial" w:hAnsi="Arial"/>
          <w:b/>
          <w:color w:val="181818"/>
          <w:sz w:val="22"/>
        </w:rPr>
        <w:t>Labeled outlets and patch-panel ports, per-link test results, and as-built records that match the installed cabling.</w:t>
      </w:r>
    </w:p>
    <w:p>
      <w:pPr>
        <w:keepNext/>
        <w:spacing w:before="200" w:after="120" w:line="269" w:lineRule="auto"/>
      </w:pPr>
      <w:r>
        <w:rPr>
          <w:rFonts w:ascii="Arial" w:hAnsi="Arial"/>
          <w:b/>
          <w:color w:val="9B792B"/>
          <w:sz w:val="24"/>
        </w:rPr>
        <w:t>Service scope</w:t>
      </w:r>
    </w:p>
    <w:p>
      <w:pPr>
        <w:keepNext w:val="0"/>
        <w:spacing w:before="0" w:after="120" w:line="269" w:lineRule="auto"/>
      </w:pPr>
      <w:r>
        <w:rPr>
          <w:rFonts w:ascii="Arial" w:hAnsi="Arial"/>
          <w:b w:val="0"/>
          <w:color w:val="181818"/>
          <w:sz w:val="20"/>
        </w:rPr>
        <w:t>Structured cabling is the standards-based permanent infrastructure between equipment rooms and outlets. It includes the cable, connectors, patch panels, outlets, pathways, labels and records, not just the cable itself.</w:t>
      </w:r>
    </w:p>
    <w:p>
      <w:pPr>
        <w:keepNext w:val="0"/>
        <w:spacing w:before="0" w:after="120" w:line="269" w:lineRule="auto"/>
      </w:pPr>
      <w:r>
        <w:rPr>
          <w:rFonts w:ascii="Arial" w:hAnsi="Arial"/>
          <w:b w:val="0"/>
          <w:color w:val="181818"/>
          <w:sz w:val="20"/>
        </w:rPr>
        <w:t>Media and category are selected from application speed, distance, environment, pathway, power delivery and useful-life requirements. A higher category is not automatically the better design when another medium or topology fits the requirement more directly.</w:t>
      </w:r>
    </w:p>
    <w:p>
      <w:pPr>
        <w:keepNext/>
        <w:spacing w:before="200" w:after="120" w:line="269" w:lineRule="auto"/>
      </w:pPr>
      <w:r>
        <w:rPr>
          <w:rFonts w:ascii="Arial" w:hAnsi="Arial"/>
          <w:b/>
          <w:color w:val="9B792B"/>
          <w:sz w:val="24"/>
        </w:rPr>
        <w:t>How the system fits together</w:t>
      </w:r>
    </w:p>
    <w:tbl>
      <w:tblPr>
        <w:tblW w:type="auto" w:w="0"/>
        <w:tblLayout w:type="fixed"/>
        <w:tblLook w:firstColumn="1" w:firstRow="1" w:lastColumn="0" w:lastRow="0" w:noHBand="0" w:noVBand="1" w:val="04A0"/>
      </w:tblPr>
      <w:tblGrid>
        <w:gridCol w:w="2160"/>
        <w:gridCol w:w="7200"/>
      </w:tblGrid>
      <w:tr>
        <w:tc>
          <w:tcPr>
            <w:tcW w:type="dxa" w:w="2160"/>
            <w:shd w:fill="F4F1E9"/>
          </w:tcPr>
          <w:p>
            <w:pPr>
              <w:spacing w:before="100" w:after="100"/>
            </w:pPr>
            <w:r>
              <w:rPr>
                <w:rFonts w:ascii="Arial" w:hAnsi="Arial"/>
                <w:b/>
                <w:sz w:val="18"/>
              </w:rPr>
              <w:t>01  Work area</w:t>
            </w:r>
          </w:p>
        </w:tc>
        <w:tc>
          <w:tcPr>
            <w:tcW w:type="dxa" w:w="7200"/>
            <w:shd w:fill="F4F1E9"/>
          </w:tcPr>
          <w:p>
            <w:pPr>
              <w:spacing w:before="100" w:after="100"/>
            </w:pPr>
            <w:r>
              <w:rPr>
                <w:rFonts w:ascii="Arial" w:hAnsi="Arial"/>
                <w:sz w:val="18"/>
              </w:rPr>
              <w:t>Outlet or service point where the device connects</w:t>
            </w:r>
          </w:p>
        </w:tc>
      </w:tr>
      <w:tr>
        <w:tc>
          <w:tcPr>
            <w:tcW w:type="dxa" w:w="2160"/>
            <w:shd w:fill="FFFFFF"/>
          </w:tcPr>
          <w:p>
            <w:pPr>
              <w:spacing w:before="100" w:after="100"/>
            </w:pPr>
            <w:r>
              <w:rPr>
                <w:rFonts w:ascii="Arial" w:hAnsi="Arial"/>
                <w:b/>
                <w:sz w:val="18"/>
              </w:rPr>
              <w:t>02  Horizontal link</w:t>
            </w:r>
          </w:p>
        </w:tc>
        <w:tc>
          <w:tcPr>
            <w:tcW w:type="dxa" w:w="7200"/>
            <w:shd w:fill="FFFFFF"/>
          </w:tcPr>
          <w:p>
            <w:pPr>
              <w:spacing w:before="100" w:after="100"/>
            </w:pPr>
            <w:r>
              <w:rPr>
                <w:rFonts w:ascii="Arial" w:hAnsi="Arial"/>
                <w:sz w:val="18"/>
              </w:rPr>
              <w:t>Permanent copper or fiber segment through the approved pathway</w:t>
            </w:r>
          </w:p>
        </w:tc>
      </w:tr>
      <w:tr>
        <w:tc>
          <w:tcPr>
            <w:tcW w:type="dxa" w:w="2160"/>
            <w:shd w:fill="F4F1E9"/>
          </w:tcPr>
          <w:p>
            <w:pPr>
              <w:spacing w:before="100" w:after="100"/>
            </w:pPr>
            <w:r>
              <w:rPr>
                <w:rFonts w:ascii="Arial" w:hAnsi="Arial"/>
                <w:b/>
                <w:sz w:val="18"/>
              </w:rPr>
              <w:t>03  Telecom room</w:t>
            </w:r>
          </w:p>
        </w:tc>
        <w:tc>
          <w:tcPr>
            <w:tcW w:type="dxa" w:w="7200"/>
            <w:shd w:fill="F4F1E9"/>
          </w:tcPr>
          <w:p>
            <w:pPr>
              <w:spacing w:before="100" w:after="100"/>
            </w:pPr>
            <w:r>
              <w:rPr>
                <w:rFonts w:ascii="Arial" w:hAnsi="Arial"/>
                <w:sz w:val="18"/>
              </w:rPr>
              <w:t>Labeled patching, rack space, bonding and power coordination</w:t>
            </w:r>
          </w:p>
        </w:tc>
      </w:tr>
      <w:tr>
        <w:tc>
          <w:tcPr>
            <w:tcW w:type="dxa" w:w="2160"/>
            <w:shd w:fill="FFFFFF"/>
          </w:tcPr>
          <w:p>
            <w:pPr>
              <w:spacing w:before="100" w:after="100"/>
            </w:pPr>
            <w:r>
              <w:rPr>
                <w:rFonts w:ascii="Arial" w:hAnsi="Arial"/>
                <w:b/>
                <w:sz w:val="18"/>
              </w:rPr>
              <w:t>04  Network edge</w:t>
            </w:r>
          </w:p>
        </w:tc>
        <w:tc>
          <w:tcPr>
            <w:tcW w:type="dxa" w:w="7200"/>
            <w:shd w:fill="FFFFFF"/>
          </w:tcPr>
          <w:p>
            <w:pPr>
              <w:spacing w:before="100" w:after="100"/>
            </w:pPr>
            <w:r>
              <w:rPr>
                <w:rFonts w:ascii="Arial" w:hAnsi="Arial"/>
                <w:sz w:val="18"/>
              </w:rPr>
              <w:t>Switch port, policy and powered-device budget serving the link</w:t>
            </w:r>
          </w:p>
        </w:tc>
      </w:tr>
    </w:tbl>
    <w:p>
      <w:pPr>
        <w:keepNext/>
        <w:spacing w:before="200" w:after="120" w:line="269" w:lineRule="auto"/>
      </w:pPr>
      <w:r>
        <w:rPr>
          <w:rFonts w:ascii="Arial" w:hAnsi="Arial"/>
          <w:b/>
          <w:color w:val="9B792B"/>
          <w:sz w:val="24"/>
        </w:rPr>
        <w:t>Typical project triggers</w:t>
      </w:r>
    </w:p>
    <w:p>
      <w:pPr>
        <w:keepNext w:val="0"/>
        <w:spacing w:before="0" w:after="100" w:line="269" w:lineRule="auto"/>
        <w:ind w:left="187" w:hanging="187"/>
      </w:pPr>
      <w:r>
        <w:rPr>
          <w:rFonts w:ascii="Arial" w:hAnsi="Arial"/>
          <w:b w:val="0"/>
          <w:color w:val="181818"/>
          <w:sz w:val="20"/>
        </w:rPr>
        <w:t>•  Unlabeled or abandoned cabling obscures active links</w:t>
      </w:r>
    </w:p>
    <w:p>
      <w:pPr>
        <w:keepNext w:val="0"/>
        <w:spacing w:before="0" w:after="100" w:line="269" w:lineRule="auto"/>
        <w:ind w:left="187" w:hanging="187"/>
      </w:pPr>
      <w:r>
        <w:rPr>
          <w:rFonts w:ascii="Arial" w:hAnsi="Arial"/>
          <w:b w:val="0"/>
          <w:color w:val="181818"/>
          <w:sz w:val="20"/>
        </w:rPr>
        <w:t>•  New devices exceed available ports or pathway capacity</w:t>
      </w:r>
    </w:p>
    <w:p>
      <w:pPr>
        <w:keepNext w:val="0"/>
        <w:spacing w:before="0" w:after="100" w:line="269" w:lineRule="auto"/>
        <w:ind w:left="187" w:hanging="187"/>
      </w:pPr>
      <w:r>
        <w:rPr>
          <w:rFonts w:ascii="Arial" w:hAnsi="Arial"/>
          <w:b w:val="0"/>
          <w:color w:val="181818"/>
          <w:sz w:val="20"/>
        </w:rPr>
        <w:t>•  Moves and remodels require repeatable outlet standards</w:t>
      </w:r>
    </w:p>
    <w:p>
      <w:pPr>
        <w:keepNext w:val="0"/>
        <w:spacing w:before="0" w:after="100" w:line="269" w:lineRule="auto"/>
        <w:ind w:left="187" w:hanging="187"/>
      </w:pPr>
      <w:r>
        <w:rPr>
          <w:rFonts w:ascii="Arial" w:hAnsi="Arial"/>
          <w:b w:val="0"/>
          <w:color w:val="181818"/>
          <w:sz w:val="20"/>
        </w:rPr>
        <w:t>•  Link errors point to possible physical-layer faults</w:t>
      </w:r>
    </w:p>
    <w:p>
      <w:r>
        <w:br w:type="page"/>
      </w:r>
    </w:p>
    <w:p>
      <w:pPr>
        <w:keepNext/>
        <w:spacing w:before="1200" w:after="160" w:line="269" w:lineRule="auto"/>
      </w:pPr>
      <w:r>
        <w:rPr>
          <w:rFonts w:ascii="Arial" w:hAnsi="Arial"/>
          <w:b/>
          <w:color w:val="9B792B"/>
          <w:sz w:val="18"/>
        </w:rPr>
        <w:t>GHT-SVC-001 / STRUCTURED CABLING</w:t>
      </w:r>
    </w:p>
    <w:p>
      <w:pPr>
        <w:keepNext/>
        <w:spacing w:before="0" w:after="180" w:line="269" w:lineRule="auto"/>
      </w:pPr>
      <w:r>
        <w:rPr>
          <w:rFonts w:ascii="Arial" w:hAnsi="Arial"/>
          <w:b/>
          <w:color w:val="181818"/>
          <w:sz w:val="42"/>
        </w:rPr>
        <w:t>Delivery and acceptance</w:t>
      </w:r>
    </w:p>
    <w:p>
      <w:pPr>
        <w:keepNext w:val="0"/>
        <w:spacing w:before="0" w:after="180" w:line="269" w:lineRule="auto"/>
      </w:pPr>
      <w:r>
        <w:rPr>
          <w:rFonts w:ascii="Arial" w:hAnsi="Arial"/>
          <w:b w:val="0"/>
          <w:color w:val="646464"/>
          <w:sz w:val="17"/>
        </w:rPr>
        <w:t>Revision 1.0   •   06 September 2026   •   2 / 3</w:t>
      </w:r>
    </w:p>
    <w:p>
      <w:pPr>
        <w:keepNext w:val="0"/>
        <w:spacing w:before="0" w:after="140" w:line="269" w:lineRule="auto"/>
      </w:pPr>
      <w:r>
        <w:rPr>
          <w:rFonts w:ascii="Arial" w:hAnsi="Arial"/>
          <w:b w:val="0"/>
          <w:color w:val="181818"/>
          <w:sz w:val="20"/>
        </w:rPr>
        <w:t>The final project scope identifies quantities, locations, dependencies, and the evidence required at each delivery stage.</w:t>
      </w:r>
    </w:p>
    <w:p>
      <w:pPr>
        <w:keepNext/>
        <w:spacing w:before="200" w:after="120" w:line="269" w:lineRule="auto"/>
      </w:pPr>
      <w:r>
        <w:rPr>
          <w:rFonts w:ascii="Arial" w:hAnsi="Arial"/>
          <w:b/>
          <w:color w:val="9B792B"/>
          <w:sz w:val="24"/>
        </w:rPr>
        <w:t>01  Requirements</w:t>
      </w:r>
    </w:p>
    <w:p>
      <w:pPr>
        <w:keepNext w:val="0"/>
        <w:spacing w:before="0" w:after="80" w:line="269" w:lineRule="auto"/>
      </w:pPr>
      <w:r>
        <w:rPr>
          <w:rFonts w:ascii="Arial" w:hAnsi="Arial"/>
          <w:b w:val="0"/>
          <w:color w:val="181818"/>
          <w:sz w:val="20"/>
        </w:rPr>
        <w:t>Map devices, applications, distances, density, power needs and owner standards.</w:t>
      </w:r>
    </w:p>
    <w:p>
      <w:pPr>
        <w:keepNext w:val="0"/>
        <w:spacing w:before="0" w:after="140" w:line="269" w:lineRule="auto"/>
      </w:pPr>
      <w:r>
        <w:rPr>
          <w:rFonts w:ascii="Arial" w:hAnsi="Arial"/>
          <w:b/>
          <w:color w:val="181818"/>
          <w:sz w:val="18"/>
        </w:rPr>
        <w:t>Acceptance evidence: Outlet schedule, media basis and assumptions register</w:t>
      </w:r>
    </w:p>
    <w:p>
      <w:pPr>
        <w:keepNext/>
        <w:spacing w:before="200" w:after="120" w:line="269" w:lineRule="auto"/>
      </w:pPr>
      <w:r>
        <w:rPr>
          <w:rFonts w:ascii="Arial" w:hAnsi="Arial"/>
          <w:b/>
          <w:color w:val="9B792B"/>
          <w:sz w:val="24"/>
        </w:rPr>
        <w:t>02  Route and label plan</w:t>
      </w:r>
    </w:p>
    <w:p>
      <w:pPr>
        <w:keepNext w:val="0"/>
        <w:spacing w:before="0" w:after="80" w:line="269" w:lineRule="auto"/>
      </w:pPr>
      <w:r>
        <w:rPr>
          <w:rFonts w:ascii="Arial" w:hAnsi="Arial"/>
          <w:b w:val="0"/>
          <w:color w:val="181818"/>
          <w:sz w:val="20"/>
        </w:rPr>
        <w:t>Coordinate rooms, pathways, identifiers, patching and future capacity before placement.</w:t>
      </w:r>
    </w:p>
    <w:p>
      <w:pPr>
        <w:keepNext w:val="0"/>
        <w:spacing w:before="0" w:after="140" w:line="269" w:lineRule="auto"/>
      </w:pPr>
      <w:r>
        <w:rPr>
          <w:rFonts w:ascii="Arial" w:hAnsi="Arial"/>
          <w:b/>
          <w:color w:val="181818"/>
          <w:sz w:val="18"/>
        </w:rPr>
        <w:t>Acceptance evidence: Cable schedule, pathway notes and label convention</w:t>
      </w:r>
    </w:p>
    <w:p>
      <w:pPr>
        <w:keepNext/>
        <w:spacing w:before="200" w:after="120" w:line="269" w:lineRule="auto"/>
      </w:pPr>
      <w:r>
        <w:rPr>
          <w:rFonts w:ascii="Arial" w:hAnsi="Arial"/>
          <w:b/>
          <w:color w:val="9B792B"/>
          <w:sz w:val="24"/>
        </w:rPr>
        <w:t>03  Install and terminate</w:t>
      </w:r>
    </w:p>
    <w:p>
      <w:pPr>
        <w:keepNext w:val="0"/>
        <w:spacing w:before="0" w:after="80" w:line="269" w:lineRule="auto"/>
      </w:pPr>
      <w:r>
        <w:rPr>
          <w:rFonts w:ascii="Arial" w:hAnsi="Arial"/>
          <w:b w:val="0"/>
          <w:color w:val="181818"/>
          <w:sz w:val="20"/>
        </w:rPr>
        <w:t>Place cable within handling limits, terminate the permanent link and dress both ends for service.</w:t>
      </w:r>
    </w:p>
    <w:p>
      <w:pPr>
        <w:keepNext w:val="0"/>
        <w:spacing w:before="0" w:after="140" w:line="269" w:lineRule="auto"/>
      </w:pPr>
      <w:r>
        <w:rPr>
          <w:rFonts w:ascii="Arial" w:hAnsi="Arial"/>
          <w:b/>
          <w:color w:val="181818"/>
          <w:sz w:val="18"/>
        </w:rPr>
        <w:t>Acceptance evidence: Progress photos and endpoint-to-panel mapping</w:t>
      </w:r>
    </w:p>
    <w:p>
      <w:pPr>
        <w:keepNext/>
        <w:spacing w:before="200" w:after="120" w:line="269" w:lineRule="auto"/>
      </w:pPr>
      <w:r>
        <w:rPr>
          <w:rFonts w:ascii="Arial" w:hAnsi="Arial"/>
          <w:b/>
          <w:color w:val="9B792B"/>
          <w:sz w:val="24"/>
        </w:rPr>
        <w:t>04  Test and hand off</w:t>
      </w:r>
    </w:p>
    <w:p>
      <w:pPr>
        <w:keepNext w:val="0"/>
        <w:spacing w:before="0" w:after="80" w:line="269" w:lineRule="auto"/>
      </w:pPr>
      <w:r>
        <w:rPr>
          <w:rFonts w:ascii="Arial" w:hAnsi="Arial"/>
          <w:b w:val="0"/>
          <w:color w:val="181818"/>
          <w:sz w:val="20"/>
        </w:rPr>
        <w:t>Test to the agreed link requirement, resolve exceptions and assemble the final record.</w:t>
      </w:r>
    </w:p>
    <w:p>
      <w:pPr>
        <w:keepNext w:val="0"/>
        <w:spacing w:before="0" w:after="140" w:line="269" w:lineRule="auto"/>
      </w:pPr>
      <w:r>
        <w:rPr>
          <w:rFonts w:ascii="Arial" w:hAnsi="Arial"/>
          <w:b/>
          <w:color w:val="181818"/>
          <w:sz w:val="18"/>
        </w:rPr>
        <w:t>Acceptance evidence: Per-link test files, exception log, photos and as-built schedule</w:t>
      </w:r>
    </w:p>
    <w:p>
      <w:pPr>
        <w:keepNext/>
        <w:spacing w:before="200" w:after="120" w:line="269" w:lineRule="auto"/>
      </w:pPr>
      <w:r>
        <w:rPr>
          <w:rFonts w:ascii="Arial" w:hAnsi="Arial"/>
          <w:b/>
          <w:color w:val="9B792B"/>
          <w:sz w:val="24"/>
        </w:rPr>
        <w:t>Handover deliverables</w:t>
      </w:r>
    </w:p>
    <w:p>
      <w:pPr>
        <w:keepNext w:val="0"/>
        <w:spacing w:before="0" w:after="100" w:line="269" w:lineRule="auto"/>
        <w:ind w:left="187" w:hanging="187"/>
      </w:pPr>
      <w:r>
        <w:rPr>
          <w:rFonts w:ascii="Arial" w:hAnsi="Arial"/>
          <w:b w:val="0"/>
          <w:color w:val="181818"/>
          <w:sz w:val="20"/>
        </w:rPr>
        <w:t>•  Outlet and cable schedule</w:t>
      </w:r>
    </w:p>
    <w:p>
      <w:pPr>
        <w:keepNext w:val="0"/>
        <w:spacing w:before="0" w:after="100" w:line="269" w:lineRule="auto"/>
        <w:ind w:left="187" w:hanging="187"/>
      </w:pPr>
      <w:r>
        <w:rPr>
          <w:rFonts w:ascii="Arial" w:hAnsi="Arial"/>
          <w:b w:val="0"/>
          <w:color w:val="181818"/>
          <w:sz w:val="20"/>
        </w:rPr>
        <w:t>•  Labeled patch-panel and work-area terminations</w:t>
      </w:r>
    </w:p>
    <w:p>
      <w:pPr>
        <w:keepNext w:val="0"/>
        <w:spacing w:before="0" w:after="100" w:line="269" w:lineRule="auto"/>
        <w:ind w:left="187" w:hanging="187"/>
      </w:pPr>
      <w:r>
        <w:rPr>
          <w:rFonts w:ascii="Arial" w:hAnsi="Arial"/>
          <w:b w:val="0"/>
          <w:color w:val="181818"/>
          <w:sz w:val="20"/>
        </w:rPr>
        <w:t>•  Per-link test-result files</w:t>
      </w:r>
    </w:p>
    <w:p>
      <w:pPr>
        <w:keepNext w:val="0"/>
        <w:spacing w:before="0" w:after="100" w:line="269" w:lineRule="auto"/>
        <w:ind w:left="187" w:hanging="187"/>
      </w:pPr>
      <w:r>
        <w:rPr>
          <w:rFonts w:ascii="Arial" w:hAnsi="Arial"/>
          <w:b w:val="0"/>
          <w:color w:val="181818"/>
          <w:sz w:val="20"/>
        </w:rPr>
        <w:t>•  As-built route and endpoint records</w:t>
      </w:r>
    </w:p>
    <w:p>
      <w:pPr>
        <w:keepNext w:val="0"/>
        <w:spacing w:before="0" w:after="100" w:line="269" w:lineRule="auto"/>
        <w:ind w:left="187" w:hanging="187"/>
      </w:pPr>
      <w:r>
        <w:rPr>
          <w:rFonts w:ascii="Arial" w:hAnsi="Arial"/>
          <w:b w:val="0"/>
          <w:color w:val="181818"/>
          <w:sz w:val="20"/>
        </w:rPr>
        <w:t>•  Exception and remediation log</w:t>
      </w:r>
    </w:p>
    <w:p>
      <w:pPr>
        <w:keepNext w:val="0"/>
        <w:spacing w:before="180" w:after="120" w:line="269" w:lineRule="auto"/>
      </w:pPr>
      <w:r>
        <w:rPr>
          <w:rFonts w:ascii="Arial" w:hAnsi="Arial"/>
          <w:b w:val="0"/>
          <w:color w:val="646464"/>
          <w:sz w:val="18"/>
        </w:rPr>
        <w:t>Closeout: GHT and the customer review the agreed evidence, record unresolved exceptions and owners, and confirm acceptance against the signed project scope.</w:t>
      </w:r>
    </w:p>
    <w:p>
      <w:r>
        <w:br w:type="page"/>
      </w:r>
    </w:p>
    <w:p>
      <w:pPr>
        <w:keepNext/>
        <w:spacing w:before="1200" w:after="160" w:line="269" w:lineRule="auto"/>
      </w:pPr>
      <w:r>
        <w:rPr>
          <w:rFonts w:ascii="Arial" w:hAnsi="Arial"/>
          <w:b/>
          <w:color w:val="9B792B"/>
          <w:sz w:val="18"/>
        </w:rPr>
        <w:t>GHT-SVC-001 / STRUCTURED CABLING</w:t>
      </w:r>
    </w:p>
    <w:p>
      <w:pPr>
        <w:keepNext/>
        <w:spacing w:before="0" w:after="180" w:line="269" w:lineRule="auto"/>
      </w:pPr>
      <w:r>
        <w:rPr>
          <w:rFonts w:ascii="Arial" w:hAnsi="Arial"/>
          <w:b/>
          <w:color w:val="181818"/>
          <w:sz w:val="42"/>
        </w:rPr>
        <w:t>Planning and scope boundaries</w:t>
      </w:r>
    </w:p>
    <w:p>
      <w:pPr>
        <w:keepNext w:val="0"/>
        <w:spacing w:before="0" w:after="140" w:line="269" w:lineRule="auto"/>
      </w:pPr>
      <w:r>
        <w:rPr>
          <w:rFonts w:ascii="Arial" w:hAnsi="Arial"/>
          <w:b w:val="0"/>
          <w:color w:val="646464"/>
          <w:sz w:val="17"/>
        </w:rPr>
        <w:t>Revision 1.0   •   06 September 2026   •   3 / 3</w:t>
      </w:r>
    </w:p>
    <w:p>
      <w:pPr>
        <w:keepNext/>
        <w:spacing w:before="200" w:after="120" w:line="269" w:lineRule="auto"/>
      </w:pPr>
      <w:r>
        <w:rPr>
          <w:rFonts w:ascii="Arial" w:hAnsi="Arial"/>
          <w:b/>
          <w:color w:val="9B792B"/>
          <w:sz w:val="24"/>
        </w:rPr>
        <w:t>Customer and site inputs</w:t>
      </w:r>
    </w:p>
    <w:p>
      <w:pPr>
        <w:keepNext w:val="0"/>
        <w:spacing w:before="0" w:after="100" w:line="269" w:lineRule="auto"/>
        <w:ind w:left="187" w:hanging="187"/>
      </w:pPr>
      <w:r>
        <w:rPr>
          <w:rFonts w:ascii="Arial" w:hAnsi="Arial"/>
          <w:b w:val="0"/>
          <w:color w:val="181818"/>
          <w:sz w:val="20"/>
        </w:rPr>
        <w:t>•  Floor plan and device locations</w:t>
      </w:r>
    </w:p>
    <w:p>
      <w:pPr>
        <w:keepNext w:val="0"/>
        <w:spacing w:before="0" w:after="100" w:line="269" w:lineRule="auto"/>
        <w:ind w:left="187" w:hanging="187"/>
      </w:pPr>
      <w:r>
        <w:rPr>
          <w:rFonts w:ascii="Arial" w:hAnsi="Arial"/>
          <w:b w:val="0"/>
          <w:color w:val="181818"/>
          <w:sz w:val="20"/>
        </w:rPr>
        <w:t>•  Application speeds and power-over-Ethernet loads</w:t>
      </w:r>
    </w:p>
    <w:p>
      <w:pPr>
        <w:keepNext w:val="0"/>
        <w:spacing w:before="0" w:after="100" w:line="269" w:lineRule="auto"/>
        <w:ind w:left="187" w:hanging="187"/>
      </w:pPr>
      <w:r>
        <w:rPr>
          <w:rFonts w:ascii="Arial" w:hAnsi="Arial"/>
          <w:b w:val="0"/>
          <w:color w:val="181818"/>
          <w:sz w:val="20"/>
        </w:rPr>
        <w:t>•  Cable distances and environmental conditions</w:t>
      </w:r>
    </w:p>
    <w:p>
      <w:pPr>
        <w:keepNext w:val="0"/>
        <w:spacing w:before="0" w:after="100" w:line="269" w:lineRule="auto"/>
        <w:ind w:left="187" w:hanging="187"/>
      </w:pPr>
      <w:r>
        <w:rPr>
          <w:rFonts w:ascii="Arial" w:hAnsi="Arial"/>
          <w:b w:val="0"/>
          <w:color w:val="181818"/>
          <w:sz w:val="20"/>
        </w:rPr>
        <w:t>•  Room, pathway and ceiling access</w:t>
      </w:r>
    </w:p>
    <w:p>
      <w:pPr>
        <w:keepNext w:val="0"/>
        <w:spacing w:before="0" w:after="100" w:line="269" w:lineRule="auto"/>
        <w:ind w:left="187" w:hanging="187"/>
      </w:pPr>
      <w:r>
        <w:rPr>
          <w:rFonts w:ascii="Arial" w:hAnsi="Arial"/>
          <w:b w:val="0"/>
          <w:color w:val="181818"/>
          <w:sz w:val="20"/>
        </w:rPr>
        <w:t>•  Owner labeling and test-report requirements</w:t>
      </w:r>
    </w:p>
    <w:p>
      <w:pPr>
        <w:keepNext/>
        <w:spacing w:before="200" w:after="120" w:line="269" w:lineRule="auto"/>
      </w:pPr>
      <w:r>
        <w:rPr>
          <w:rFonts w:ascii="Arial" w:hAnsi="Arial"/>
          <w:b/>
          <w:color w:val="9B792B"/>
          <w:sz w:val="24"/>
        </w:rPr>
        <w:t>Constraints and coordination</w:t>
      </w:r>
    </w:p>
    <w:p>
      <w:pPr>
        <w:keepNext w:val="0"/>
        <w:spacing w:before="0" w:after="100" w:line="269" w:lineRule="auto"/>
        <w:ind w:left="187" w:hanging="187"/>
      </w:pPr>
      <w:r>
        <w:rPr>
          <w:rFonts w:ascii="Arial" w:hAnsi="Arial"/>
          <w:b w:val="0"/>
          <w:color w:val="181818"/>
          <w:sz w:val="20"/>
        </w:rPr>
        <w:t>•  Distance and channel-component limits</w:t>
      </w:r>
    </w:p>
    <w:p>
      <w:pPr>
        <w:keepNext w:val="0"/>
        <w:spacing w:before="0" w:after="100" w:line="269" w:lineRule="auto"/>
        <w:ind w:left="187" w:hanging="187"/>
      </w:pPr>
      <w:r>
        <w:rPr>
          <w:rFonts w:ascii="Arial" w:hAnsi="Arial"/>
          <w:b w:val="0"/>
          <w:color w:val="181818"/>
          <w:sz w:val="20"/>
        </w:rPr>
        <w:t>•  Pathway fill, bend radius and pulling tension</w:t>
      </w:r>
    </w:p>
    <w:p>
      <w:pPr>
        <w:keepNext w:val="0"/>
        <w:spacing w:before="0" w:after="100" w:line="269" w:lineRule="auto"/>
        <w:ind w:left="187" w:hanging="187"/>
      </w:pPr>
      <w:r>
        <w:rPr>
          <w:rFonts w:ascii="Arial" w:hAnsi="Arial"/>
          <w:b w:val="0"/>
          <w:color w:val="181818"/>
          <w:sz w:val="20"/>
        </w:rPr>
        <w:t>•  Separation and coordination with other building systems</w:t>
      </w:r>
    </w:p>
    <w:p>
      <w:pPr>
        <w:keepNext w:val="0"/>
        <w:spacing w:before="0" w:after="100" w:line="269" w:lineRule="auto"/>
        <w:ind w:left="187" w:hanging="187"/>
      </w:pPr>
      <w:r>
        <w:rPr>
          <w:rFonts w:ascii="Arial" w:hAnsi="Arial"/>
          <w:b w:val="0"/>
          <w:color w:val="181818"/>
          <w:sz w:val="20"/>
        </w:rPr>
        <w:t>•  Access windows, occupied-space protection and firestop responsibility</w:t>
      </w:r>
    </w:p>
    <w:p>
      <w:pPr>
        <w:keepNext/>
        <w:spacing w:before="200" w:after="120" w:line="269" w:lineRule="auto"/>
      </w:pPr>
      <w:r>
        <w:rPr>
          <w:rFonts w:ascii="Arial" w:hAnsi="Arial"/>
          <w:b/>
          <w:color w:val="9B792B"/>
          <w:sz w:val="24"/>
        </w:rPr>
        <w:t>Commercial scope and responsibilities</w:t>
      </w:r>
    </w:p>
    <w:p>
      <w:pPr>
        <w:keepNext w:val="0"/>
        <w:spacing w:before="0" w:after="120" w:line="269" w:lineRule="auto"/>
      </w:pPr>
      <w:r>
        <w:rPr>
          <w:rFonts w:ascii="Arial" w:hAnsi="Arial"/>
          <w:b w:val="0"/>
          <w:color w:val="181818"/>
          <w:sz w:val="18"/>
        </w:rPr>
        <w:t>This specification describes the service framework. The signed statement of work defines included equipment, quantities, software licenses, integrations, access windows, schedule, pricing, warranty, and support coverage. Additional construction, electrical work, recurring subscriptions, and ongoing support require an explicit line item.</w:t>
      </w:r>
    </w:p>
    <w:p>
      <w:pPr>
        <w:keepNext w:val="0"/>
        <w:spacing w:before="0" w:after="120" w:line="269" w:lineRule="auto"/>
      </w:pPr>
      <w:r>
        <w:rPr>
          <w:rFonts w:ascii="Arial" w:hAnsi="Arial"/>
          <w:b w:val="0"/>
          <w:color w:val="181818"/>
          <w:sz w:val="18"/>
        </w:rPr>
        <w:t>The customer appoints an acceptance owner and provides authorized access, required site information, and decisions. GHT records assumptions, coordinates assigned work, and submits changes for agreement before expanding the scope.</w:t>
      </w:r>
    </w:p>
    <w:p>
      <w:pPr>
        <w:keepNext/>
        <w:spacing w:before="200" w:after="120" w:line="269" w:lineRule="auto"/>
      </w:pPr>
      <w:r>
        <w:rPr>
          <w:rFonts w:ascii="Arial" w:hAnsi="Arial"/>
          <w:b/>
          <w:color w:val="9B792B"/>
          <w:sz w:val="24"/>
        </w:rPr>
        <w:t>Technical references</w:t>
      </w:r>
    </w:p>
    <w:p>
      <w:pPr>
        <w:keepNext w:val="0"/>
        <w:spacing w:before="0" w:after="140" w:line="269" w:lineRule="auto"/>
      </w:pPr>
      <w:r>
        <w:rPr>
          <w:rFonts w:ascii="Arial" w:hAnsi="Arial"/>
          <w:b w:val="0"/>
          <w:color w:val="181818"/>
          <w:sz w:val="17"/>
        </w:rPr>
      </w:r>
      <w:hyperlink r:id="rId12">
        <w:r>
          <w:rPr>
            <w:color w:val="9B792B"/>
          </w:rPr>
          <w:t>Telecommunications Industry Association — TIA-568: Commercial Building Telecommunications Cabling Standards</w:t>
        </w:r>
      </w:hyperlink>
      <w:r>
        <w:rPr>
          <w:sz w:val="16"/>
        </w:rPr>
        <w:t xml:space="preserve">  |  Source review: 2026-08-20</w:t>
      </w:r>
    </w:p>
    <w:p>
      <w:pPr>
        <w:keepNext w:val="0"/>
        <w:spacing w:before="0" w:after="140" w:line="269" w:lineRule="auto"/>
      </w:pPr>
      <w:r>
        <w:rPr>
          <w:rFonts w:ascii="Arial" w:hAnsi="Arial"/>
          <w:b w:val="0"/>
          <w:color w:val="181818"/>
          <w:sz w:val="17"/>
        </w:rPr>
      </w:r>
      <w:hyperlink r:id="rId13">
        <w:r>
          <w:rPr>
            <w:color w:val="9B792B"/>
          </w:rPr>
          <w:t>Telecommunications Industry Association — TIA-569: Telecommunications Pathways and Spaces</w:t>
        </w:r>
      </w:hyperlink>
      <w:r>
        <w:rPr>
          <w:sz w:val="16"/>
        </w:rPr>
        <w:t xml:space="preserve">  |  Source review: 2026-08-20</w:t>
      </w:r>
    </w:p>
    <w:p>
      <w:pPr>
        <w:keepNext w:val="0"/>
        <w:spacing w:before="0" w:after="140" w:line="269" w:lineRule="auto"/>
      </w:pPr>
      <w:r>
        <w:rPr>
          <w:rFonts w:ascii="Arial" w:hAnsi="Arial"/>
          <w:b w:val="0"/>
          <w:color w:val="181818"/>
          <w:sz w:val="17"/>
        </w:rPr>
      </w:r>
      <w:hyperlink r:id="rId14">
        <w:r>
          <w:rPr>
            <w:color w:val="9B792B"/>
          </w:rPr>
          <w:t>BICSI — Telecommunications Distribution Methods Manual</w:t>
        </w:r>
      </w:hyperlink>
      <w:r>
        <w:rPr>
          <w:sz w:val="16"/>
        </w:rPr>
        <w:t xml:space="preserve">  |  Source review: 2026-08-20</w:t>
      </w:r>
    </w:p>
    <w:p>
      <w:pPr>
        <w:keepNext w:val="0"/>
        <w:spacing w:before="0" w:after="140" w:line="269" w:lineRule="auto"/>
      </w:pPr>
      <w:r>
        <w:rPr>
          <w:rFonts w:ascii="Arial" w:hAnsi="Arial"/>
          <w:b w:val="0"/>
          <w:color w:val="181818"/>
          <w:sz w:val="17"/>
        </w:rPr>
      </w:r>
      <w:hyperlink r:id="rId15">
        <w:r>
          <w:rPr>
            <w:color w:val="9B792B"/>
          </w:rPr>
          <w:t>IEEE 802.3 Working Group — IEEE 802.3 Ethernet</w:t>
        </w:r>
      </w:hyperlink>
      <w:r>
        <w:rPr>
          <w:sz w:val="16"/>
        </w:rPr>
        <w:t xml:space="preserve">  |  Source review: 2026-08-20</w:t>
      </w:r>
    </w:p>
    <w:p>
      <w:pPr>
        <w:keepNext w:val="0"/>
        <w:spacing w:before="0" w:after="140" w:line="269" w:lineRule="auto"/>
      </w:pPr>
      <w:r>
        <w:rPr>
          <w:rFonts w:ascii="Arial" w:hAnsi="Arial"/>
          <w:b w:val="0"/>
          <w:color w:val="181818"/>
          <w:sz w:val="17"/>
        </w:rPr>
      </w:r>
      <w:hyperlink r:id="rId16">
        <w:r>
          <w:rPr>
            <w:color w:val="9B792B"/>
          </w:rPr>
          <w:t>Service guide and project discussion</w:t>
        </w:r>
      </w:hyperlink>
      <w:r>
        <w:rPr>
          <w:sz w:val="16"/>
        </w:rPr>
        <w:t xml:space="preserve">  |  Source review: 2026-09-06</w:t>
      </w:r>
    </w:p>
    <w:sectPr w:rsidR="00681A4F" w:rsidSect="00034616">
      <w:headerReference w:type="default" r:id="rId8"/>
      <w:footerReference w:type="default" r:id="rId9"/>
      <w:pgSz w:w="12240" w:h="15840"/>
      <w:pgMar w:top="720" w:right="1080" w:bottom="720" w:left="1512" w:header="576" w:footer="504" w:gutter="0"/>
      <w:pgBorders w:offsetFrom="page">
        <w:left w:val="single" w:sz="30" w:space="24" w:color="C9A961"/>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AE819" w14:textId="77777777" w:rsidR="00B235C8" w:rsidRDefault="00B235C8">
      <w:pPr>
        <w:spacing w:after="0" w:line="240" w:lineRule="auto"/>
      </w:pPr>
      <w:r>
        <w:separator/>
      </w:r>
    </w:p>
  </w:endnote>
  <w:endnote w:type="continuationSeparator" w:id="0">
    <w:p w14:paraId="30315FD1" w14:textId="77777777" w:rsidR="00B235C8" w:rsidRDefault="00B235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835CF" w14:textId="77777777" w:rsidR="00681A4F" w:rsidRDefault="00B235C8">
    <w:pPr>
      <w:pStyle w:val="Footer"/>
      <w:tabs>
        <w:tab w:val="right" w:pos="9504"/>
      </w:tabs>
    </w:pPr>
    <w:r>
      <w:rPr>
        <w:color w:val="7D786B"/>
        <w:spacing w:val="32"/>
        <w:sz w:val="12"/>
      </w:rPr>
      <w:t>3077 LEEMAN FERRY RD SW, SUITE A1  ·  HUNTSVILLE, AL 35801</w:t>
    </w:r>
    <w:r>
      <w:rPr>
        <w:color w:val="C9A961"/>
        <w:spacing w:val="32"/>
        <w:sz w:val="12"/>
      </w:rPr>
      <w:tab/>
      <w:t>GHT.NETWORK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539E98" w14:textId="77777777" w:rsidR="00B235C8" w:rsidRDefault="00B235C8">
      <w:pPr>
        <w:spacing w:after="0" w:line="240" w:lineRule="auto"/>
      </w:pPr>
      <w:r>
        <w:separator/>
      </w:r>
    </w:p>
  </w:footnote>
  <w:footnote w:type="continuationSeparator" w:id="0">
    <w:p w14:paraId="6265AA7E" w14:textId="77777777" w:rsidR="00B235C8" w:rsidRDefault="00B235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6121F" w14:textId="77777777" w:rsidR="00681A4F" w:rsidRDefault="00B235C8">
    <w:pPr>
      <w:pStyle w:val="Header"/>
      <w:tabs>
        <w:tab w:val="right" w:pos="9504"/>
      </w:tabs>
      <w:spacing w:after="40"/>
    </w:pPr>
    <w:r>
      <w:rPr>
        <w:noProof/>
      </w:rPr>
      <w:drawing>
        <wp:inline distT="0" distB="0" distL="0" distR="0" wp14:anchorId="540EE956" wp14:editId="5B1A6214">
          <wp:extent cx="644300" cy="3657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k-dark.png"/>
                  <pic:cNvPicPr/>
                </pic:nvPicPr>
                <pic:blipFill>
                  <a:blip r:embed="rId1"/>
                  <a:stretch>
                    <a:fillRect/>
                  </a:stretch>
                </pic:blipFill>
                <pic:spPr>
                  <a:xfrm>
                    <a:off x="0" y="0"/>
                    <a:ext cx="644300" cy="365760"/>
                  </a:xfrm>
                  <a:prstGeom prst="rect">
                    <a:avLst/>
                  </a:prstGeom>
                </pic:spPr>
              </pic:pic>
            </a:graphicData>
          </a:graphic>
        </wp:inline>
      </w:drawing>
    </w:r>
    <w:r>
      <w:rPr>
        <w:b/>
        <w:color w:val="141210"/>
        <w:spacing w:val="60"/>
        <w:sz w:val="20"/>
      </w:rPr>
      <w:t xml:space="preserve">   GLASS HOUSE TECHNOLOGIES</w:t>
    </w:r>
    <w:r>
      <w:rPr>
        <w:b/>
        <w:color w:val="141210"/>
        <w:spacing w:val="28"/>
        <w:sz w:val="12"/>
      </w:rPr>
      <w:tab/>
      <w:t>TECHNOLOGY COMPANY</w:t>
    </w:r>
  </w:p>
  <w:p w14:paraId="6F91F4DE" w14:textId="77777777" w:rsidR="00681A4F" w:rsidRDefault="00B235C8">
    <w:pPr>
      <w:tabs>
        <w:tab w:val="right" w:pos="9504"/>
      </w:tabs>
    </w:pPr>
    <w:r>
      <w:rPr>
        <w:color w:val="C9A961"/>
        <w:spacing w:val="40"/>
        <w:sz w:val="12"/>
      </w:rPr>
      <w:t>INFRASTRUCTURE  ·  SOFTWARE  ·  HARDWARE  ·  ROBOTICS</w:t>
    </w:r>
    <w:r>
      <w:rPr>
        <w:color w:val="7D786B"/>
        <w:spacing w:val="20"/>
        <w:sz w:val="12"/>
      </w:rPr>
      <w:tab/>
      <w:t>GHT.NETWORK  ·  (256) 735-3253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56313682">
    <w:abstractNumId w:val="8"/>
  </w:num>
  <w:num w:numId="2" w16cid:durableId="1702515407">
    <w:abstractNumId w:val="6"/>
  </w:num>
  <w:num w:numId="3" w16cid:durableId="835531263">
    <w:abstractNumId w:val="5"/>
  </w:num>
  <w:num w:numId="4" w16cid:durableId="32392024">
    <w:abstractNumId w:val="4"/>
  </w:num>
  <w:num w:numId="5" w16cid:durableId="1702050768">
    <w:abstractNumId w:val="7"/>
  </w:num>
  <w:num w:numId="6" w16cid:durableId="2060517942">
    <w:abstractNumId w:val="3"/>
  </w:num>
  <w:num w:numId="7" w16cid:durableId="901713311">
    <w:abstractNumId w:val="2"/>
  </w:num>
  <w:num w:numId="8" w16cid:durableId="1176771897">
    <w:abstractNumId w:val="1"/>
  </w:num>
  <w:num w:numId="9" w16cid:durableId="1854831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E15A71"/>
    <w:rsid w:val="00034616"/>
    <w:rsid w:val="0006063C"/>
    <w:rsid w:val="0015074B"/>
    <w:rsid w:val="0029639D"/>
    <w:rsid w:val="00326F90"/>
    <w:rsid w:val="00681A4F"/>
    <w:rsid w:val="00AA1D8D"/>
    <w:rsid w:val="00B235C8"/>
    <w:rsid w:val="00B47730"/>
    <w:rsid w:val="00CB0664"/>
    <w:rsid w:val="00E15A71"/>
    <w:rsid w:val="00F4464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74D4D7"/>
  <w14:defaultImageDpi w14:val="300"/>
  <w15:docId w15:val="{8C696F11-9649-4375-94FD-C974394B4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before="0" w:after="120"/>
    </w:pPr>
    <w:rPr>
      <w:rFonts w:ascii="Arial" w:hAnsi="Arial"/>
      <w:color w:val="2B2A27"/>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yperlink" Target="https://tiaonline.org/standard/tia-568/" TargetMode="External"/><Relationship Id="rId13" Type="http://schemas.openxmlformats.org/officeDocument/2006/relationships/hyperlink" Target="https://tiaonline.org/standard/tia-569/" TargetMode="External"/><Relationship Id="rId14" Type="http://schemas.openxmlformats.org/officeDocument/2006/relationships/hyperlink" Target="https://shop.bicsi.org/technical-manuals/distribution-design" TargetMode="External"/><Relationship Id="rId15" Type="http://schemas.openxmlformats.org/officeDocument/2006/relationships/hyperlink" Target="https://ieee802.org/3/" TargetMode="External"/><Relationship Id="rId16" Type="http://schemas.openxmlformats.org/officeDocument/2006/relationships/hyperlink" Target="https://ght.network/services/physical-infrastructure/structured-cablin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nno\OneDrive\Documents\ChatGPT\OnlyTechs\client\public\brand-docs\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letterhead</Template>
  <TotalTime>0</TotalTime>
  <Pages>1</Pages>
  <Words>16</Words>
  <Characters>94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Structured cabling — Service specification</dc:title>
  <dc:subject>Copper or fiber links, outlets, patch panels, pathways, and labels for computers, Wi-Fi, cameras, phones, and building systems.</dc:subject>
  <dc:creator>Glass House Technologies</dc:creator>
  <cp:keywords>Physical infrastructure, service specification</cp:keywords>
  <dc:description>generated by python-docx</dc:description>
  <cp:lastModifiedBy>Connor Glass</cp:lastModifiedBy>
  <cp:revision>1</cp:revision>
  <dcterms:created xsi:type="dcterms:W3CDTF">2026-08-24T05:53:00Z</dcterms:created>
  <dcterms:modified xsi:type="dcterms:W3CDTF">2026-08-24T05:53:00Z</dcterms:modified>
  <cp:category/>
</cp:coreProperties>
</file>